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2215">
      <w:pPr>
        <w:spacing w:line="600" w:lineRule="exact"/>
        <w:rPr>
          <w:rFonts w:hint="eastAsia" w:ascii="黑体" w:hAnsi="黑体" w:eastAsia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 w14:paraId="3CC713D1"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数字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山东技术规范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项目申请书</w:t>
      </w:r>
    </w:p>
    <w:tbl>
      <w:tblPr>
        <w:tblStyle w:val="1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 w14:paraId="06DF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D796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9AA78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6BD7E">
            <w:pPr>
              <w:widowControl/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27543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）个月</w:t>
            </w:r>
          </w:p>
        </w:tc>
      </w:tr>
      <w:tr w14:paraId="4E85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261E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技术规范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级别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6F699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32"/>
              </w:rPr>
              <w:t>省级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32"/>
              </w:rPr>
              <w:t>市级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BD8EE">
            <w:pPr>
              <w:widowControl/>
              <w:jc w:val="center"/>
              <w:rPr>
                <w:rFonts w:ascii="仿宋_GB2312" w:hAnsi="仿宋" w:eastAsia="仿宋_GB2312"/>
                <w:spacing w:val="-1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hAnsi="仿宋" w:eastAsia="仿宋_GB2312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CB35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□制定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修订</w:t>
            </w:r>
          </w:p>
        </w:tc>
      </w:tr>
      <w:tr w14:paraId="5240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2CD4A">
            <w:pPr>
              <w:jc w:val="center"/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采用</w:t>
            </w:r>
            <w:r>
              <w:rPr>
                <w:rFonts w:ascii="仿宋_GB2312" w:hAnsi="仿宋" w:eastAsia="仿宋_GB2312"/>
                <w:sz w:val="24"/>
                <w:szCs w:val="32"/>
              </w:rPr>
              <w:t>国际</w:t>
            </w: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FF5AACE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ISO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IEC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ITU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ISO/IEC</w:t>
            </w:r>
          </w:p>
          <w:p w14:paraId="6F9F92F8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ISO确认的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153D4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816F6E2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修改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等同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非等效</w:t>
            </w:r>
          </w:p>
        </w:tc>
      </w:tr>
      <w:tr w14:paraId="1F6A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1045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25C34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B616C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B5028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573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93F9">
            <w:pPr>
              <w:jc w:val="center"/>
              <w:rPr>
                <w:rFonts w:hint="default" w:ascii="仿宋_GB2312" w:hAnsi="仿宋" w:eastAsia="仿宋_GB2312"/>
                <w:sz w:val="24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申报单位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93021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280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EE16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主要</w:t>
            </w:r>
            <w:r>
              <w:rPr>
                <w:rFonts w:ascii="仿宋_GB2312" w:hAnsi="仿宋" w:eastAsia="仿宋_GB2312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994A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0C5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3AB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DB7A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7479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1D4A4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889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548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71C9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14E16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AACC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C8A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AEE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E1FA7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D12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C0CB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73E0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□有（项目类别及名称：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  □无</w:t>
            </w:r>
          </w:p>
        </w:tc>
      </w:tr>
      <w:tr w14:paraId="2A55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89D0">
            <w:pPr>
              <w:jc w:val="center"/>
              <w:rPr>
                <w:rFonts w:ascii="仿宋_GB2312" w:hAnsi="仿宋" w:eastAsia="仿宋_GB2312"/>
                <w:spacing w:val="-17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178FE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4EF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4F3B4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一、制定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的必要性、可行性（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提出的政策依据、可行性分析和重要意义等）</w:t>
            </w:r>
          </w:p>
          <w:p w14:paraId="44F8FD4A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4B18BD24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48DEE9D1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37664D73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</w:tr>
      <w:tr w14:paraId="13B9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101B6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二、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适用范围和主要技术内容（修订</w:t>
            </w:r>
            <w:r>
              <w:rPr>
                <w:rFonts w:hint="eastAsia" w:ascii="仿宋_GB2312" w:hAnsi="仿宋" w:eastAsia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应当明确修订内容）</w:t>
            </w:r>
          </w:p>
          <w:p w14:paraId="67BF0B86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10A76351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685EBC8D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</w:tr>
      <w:tr w14:paraId="7F3A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854C16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查新及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与相关国家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协调情况</w:t>
            </w:r>
          </w:p>
          <w:p w14:paraId="26CA1D8D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47183A52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5C1E063A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2F84EB54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7B7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9C72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、起草单位情况、进度安排及保障措施（组织、人员、技术和经费等）</w:t>
            </w:r>
          </w:p>
          <w:p w14:paraId="79595760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4A2324B6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180146D2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51246DCD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C1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721F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实施预期效益分析（经济效益、社会效益和生态效益等）</w:t>
            </w:r>
          </w:p>
          <w:p w14:paraId="4FCED2B6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599BA8F8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00971225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5FB193F4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E6A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31AF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组织实施及监督工作措施（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eastAsia="zh-CN"/>
              </w:rPr>
              <w:t>技术规范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宣贯培训、试点应用、监督检查及持续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改进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等）</w:t>
            </w:r>
          </w:p>
          <w:p w14:paraId="78D47693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2B1681D1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56B6BFA0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74E6FFDD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 w14:paraId="59A9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80AD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七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、与有关部门协调情况（如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）</w:t>
            </w:r>
          </w:p>
          <w:p w14:paraId="0811DDAE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3E0D6CE0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5F54A935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49A7B179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 w14:paraId="0F21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42E2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八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、其他</w:t>
            </w:r>
          </w:p>
          <w:p w14:paraId="6F8ED2B9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 w14:paraId="0E70AEBB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 w14:paraId="7E6607BD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 w14:paraId="7AC1B896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</w:tc>
      </w:tr>
      <w:tr w14:paraId="6654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08C7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主要起草单位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意见：</w:t>
            </w:r>
          </w:p>
          <w:p w14:paraId="7EB4487C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60E6600D">
            <w:pPr>
              <w:rPr>
                <w:rFonts w:ascii="仿宋_GB2312" w:hAnsi="仿宋" w:eastAsia="仿宋_GB2312" w:cs="宋体"/>
                <w:sz w:val="24"/>
                <w:szCs w:val="32"/>
              </w:rPr>
            </w:pPr>
          </w:p>
          <w:p w14:paraId="3A86D138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 w14:paraId="0BFEAC9E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50462408">
            <w:pPr>
              <w:spacing w:line="360" w:lineRule="auto"/>
              <w:ind w:firstLine="2040" w:firstLineChars="8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负责人（签字）：</w:t>
            </w:r>
            <w:r>
              <w:rPr>
                <w:rFonts w:ascii="仿宋_GB2312" w:hAnsi="宋体" w:eastAsia="仿宋_GB2312"/>
                <w:sz w:val="24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单位（盖  章）</w:t>
            </w:r>
          </w:p>
          <w:p w14:paraId="6687B7F7">
            <w:pPr>
              <w:ind w:firstLine="5640" w:firstLineChars="2350"/>
              <w:rPr>
                <w:rFonts w:ascii="仿宋_GB2312" w:hAnsi="仿宋" w:eastAsia="仿宋_GB2312" w:cs="宋体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 w14:paraId="7A7CE16F">
      <w:pPr>
        <w:spacing w:line="600" w:lineRule="exact"/>
        <w:rPr>
          <w:rFonts w:ascii="黑体" w:hAnsi="黑体" w:eastAsia="黑体"/>
          <w:sz w:val="32"/>
        </w:rPr>
      </w:pPr>
    </w:p>
    <w:p w14:paraId="641FDD39"/>
    <w:sectPr>
      <w:footerReference r:id="rId5" w:type="first"/>
      <w:footerReference r:id="rId3" w:type="default"/>
      <w:footerReference r:id="rId4" w:type="even"/>
      <w:pgSz w:w="11906" w:h="16838"/>
      <w:pgMar w:top="1418" w:right="1247" w:bottom="1418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752825997"/>
    </w:sdtPr>
    <w:sdtEndPr>
      <w:rPr>
        <w:rFonts w:ascii="Times New Roman" w:hAnsi="Times New Roman" w:cs="Times New Roman"/>
        <w:sz w:val="21"/>
        <w:szCs w:val="21"/>
      </w:rPr>
    </w:sdtEndPr>
    <w:sdtContent>
      <w:p w14:paraId="68ABD5BB">
        <w:pPr>
          <w:pStyle w:val="8"/>
          <w:spacing w:before="240"/>
          <w:ind w:right="15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—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</w:rPr>
          <w:t>15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717885958"/>
    </w:sdtPr>
    <w:sdtEndPr>
      <w:rPr>
        <w:rFonts w:ascii="Times New Roman" w:hAnsi="Times New Roman" w:cs="Times New Roman"/>
      </w:rPr>
    </w:sdtEndPr>
    <w:sdtContent>
      <w:p w14:paraId="3E699708">
        <w:pPr>
          <w:pStyle w:val="8"/>
          <w:spacing w:before="240"/>
          <w:ind w:right="154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>16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B051">
    <w:pPr>
      <w:pStyle w:val="8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kern w:val="0"/>
        <w:sz w:val="28"/>
        <w:szCs w:val="21"/>
      </w:rPr>
      <w:t xml:space="preserve">— </w:t>
    </w:r>
    <w:r>
      <w:rPr>
        <w:rFonts w:ascii="Times New Roman" w:hAnsi="Times New Roman" w:cs="Times New Roman"/>
        <w:kern w:val="0"/>
        <w:sz w:val="28"/>
        <w:szCs w:val="21"/>
      </w:rPr>
      <w:fldChar w:fldCharType="begin"/>
    </w:r>
    <w:r>
      <w:rPr>
        <w:rFonts w:ascii="Times New Roman" w:hAnsi="Times New Roman" w:cs="Times New Roman"/>
        <w:kern w:val="0"/>
        <w:sz w:val="28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 w:val="28"/>
        <w:szCs w:val="21"/>
      </w:rPr>
      <w:fldChar w:fldCharType="separate"/>
    </w:r>
    <w:r>
      <w:rPr>
        <w:rFonts w:ascii="Times New Roman" w:hAnsi="Times New Roman" w:cs="Times New Roman"/>
        <w:kern w:val="0"/>
        <w:sz w:val="28"/>
        <w:szCs w:val="21"/>
      </w:rPr>
      <w:t>18</w:t>
    </w:r>
    <w:r>
      <w:rPr>
        <w:rFonts w:ascii="Times New Roman" w:hAnsi="Times New Roman" w:cs="Times New Roman"/>
        <w:kern w:val="0"/>
        <w:sz w:val="28"/>
        <w:szCs w:val="21"/>
      </w:rPr>
      <w:fldChar w:fldCharType="end"/>
    </w:r>
    <w:r>
      <w:rPr>
        <w:rFonts w:ascii="Times New Roman" w:hAnsi="Times New Roman" w:cs="Times New Roman"/>
        <w:kern w:val="0"/>
        <w:sz w:val="28"/>
        <w:szCs w:val="21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DhkMWZmNjk0YmUwYjA2NTY3NGEzMGIzZjNhYjAifQ=="/>
  </w:docVars>
  <w:rsids>
    <w:rsidRoot w:val="094C37CE"/>
    <w:rsid w:val="001A2A5E"/>
    <w:rsid w:val="03B33C33"/>
    <w:rsid w:val="04E14C87"/>
    <w:rsid w:val="068E543E"/>
    <w:rsid w:val="06D82256"/>
    <w:rsid w:val="0833219E"/>
    <w:rsid w:val="094C37CE"/>
    <w:rsid w:val="0B456462"/>
    <w:rsid w:val="0D75617C"/>
    <w:rsid w:val="0DAD55DD"/>
    <w:rsid w:val="10C765FA"/>
    <w:rsid w:val="18E14B15"/>
    <w:rsid w:val="201036A2"/>
    <w:rsid w:val="26CA6736"/>
    <w:rsid w:val="28DA1DB9"/>
    <w:rsid w:val="295E7B94"/>
    <w:rsid w:val="304D4D51"/>
    <w:rsid w:val="37903F09"/>
    <w:rsid w:val="3B606270"/>
    <w:rsid w:val="42A0153B"/>
    <w:rsid w:val="42A415D5"/>
    <w:rsid w:val="43084E57"/>
    <w:rsid w:val="47CF4B5A"/>
    <w:rsid w:val="4CA5408F"/>
    <w:rsid w:val="4CEC7B29"/>
    <w:rsid w:val="4E715DF2"/>
    <w:rsid w:val="507D735D"/>
    <w:rsid w:val="54377F32"/>
    <w:rsid w:val="55730238"/>
    <w:rsid w:val="56481B84"/>
    <w:rsid w:val="587F43BC"/>
    <w:rsid w:val="59E446FB"/>
    <w:rsid w:val="5B2A5EB3"/>
    <w:rsid w:val="5E271CB1"/>
    <w:rsid w:val="5E5747E2"/>
    <w:rsid w:val="62F71990"/>
    <w:rsid w:val="6C23663A"/>
    <w:rsid w:val="700048D7"/>
    <w:rsid w:val="72185AEF"/>
    <w:rsid w:val="73A73AA9"/>
    <w:rsid w:val="759239DF"/>
    <w:rsid w:val="775A761F"/>
    <w:rsid w:val="78371435"/>
    <w:rsid w:val="798C22D2"/>
    <w:rsid w:val="7AB96FA9"/>
    <w:rsid w:val="7E4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912" w:firstLineChars="200"/>
      <w:jc w:val="left"/>
      <w:outlineLvl w:val="1"/>
    </w:pPr>
    <w:rPr>
      <w:rFonts w:ascii="Arial" w:hAnsi="Arial" w:eastAsia="楷体_GB2312" w:cs="Times New Roman"/>
      <w:szCs w:val="32"/>
    </w:rPr>
  </w:style>
  <w:style w:type="paragraph" w:styleId="5">
    <w:name w:val="heading 3"/>
    <w:basedOn w:val="6"/>
    <w:next w:val="1"/>
    <w:link w:val="14"/>
    <w:semiHidden/>
    <w:unhideWhenUsed/>
    <w:qFormat/>
    <w:uiPriority w:val="0"/>
    <w:pPr>
      <w:keepNext w:val="0"/>
      <w:keepLines w:val="0"/>
      <w:snapToGrid/>
      <w:spacing w:before="20" w:beforeLines="0" w:beforeAutospacing="0" w:after="20" w:afterLines="0" w:afterAutospacing="0" w:line="600" w:lineRule="exact"/>
      <w:ind w:firstLine="880" w:firstLineChars="200"/>
      <w:outlineLvl w:val="2"/>
    </w:pPr>
    <w:rPr>
      <w:rFonts w:ascii="Arial" w:hAnsi="Arial" w:cs="Times New Roman"/>
      <w:b w:val="0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公文标题"/>
    <w:basedOn w:val="3"/>
    <w:next w:val="7"/>
    <w:qFormat/>
    <w:uiPriority w:val="0"/>
    <w:rPr>
      <w:rFonts w:ascii="Arial" w:hAnsi="Arial" w:eastAsia="方正小标宋简体"/>
      <w:b w:val="0"/>
      <w:sz w:val="44"/>
    </w:rPr>
  </w:style>
  <w:style w:type="character" w:customStyle="1" w:styleId="13">
    <w:name w:val="标题 2 Char"/>
    <w:link w:val="4"/>
    <w:qFormat/>
    <w:uiPriority w:val="0"/>
    <w:rPr>
      <w:rFonts w:ascii="Arial" w:hAnsi="Arial" w:eastAsia="楷体_GB2312" w:cs="Times New Roman"/>
      <w:szCs w:val="32"/>
    </w:rPr>
  </w:style>
  <w:style w:type="character" w:customStyle="1" w:styleId="14">
    <w:name w:val="标题 3 Char"/>
    <w:link w:val="5"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15">
    <w:name w:val="标题 1 Char"/>
    <w:link w:val="2"/>
    <w:qFormat/>
    <w:uiPriority w:val="0"/>
    <w:rPr>
      <w:rFonts w:ascii="Arial" w:hAnsi="Arial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426</Characters>
  <Lines>0</Lines>
  <Paragraphs>0</Paragraphs>
  <TotalTime>0</TotalTime>
  <ScaleCrop>false</ScaleCrop>
  <LinksUpToDate>false</LinksUpToDate>
  <CharactersWithSpaces>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2023-02-22T02:53:00Z</dcterms:created>
  <dc:creator>石俊龙</dc:creator>
  <cp:lastModifiedBy>石某</cp:lastModifiedBy>
  <cp:lastPrinted>2025-03-26T07:23:47Z</cp:lastPrinted>
  <dcterms:modified xsi:type="dcterms:W3CDTF">2025-03-26T07:26:48Z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66C38CA01C464273ABB41A995EA04C72_13</vt:lpwstr>
  </property>
  <property fmtid="{D5CDD505-2E9C-101B-9397-08002B2CF9AE}" pid="4" name="KSOTemplateDocerSaveRecord">
    <vt:lpwstr>eyJoZGlkIjoiMGQ1NDhkMWZmNjk0YmUwYjA2NTY3NGEzMGIzZjNhYjAiLCJ1c2VySWQiOiI0NTczODYyNTgifQ==</vt:lpwstr>
  </property>
</Properties>
</file>