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43950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关于申报2025年度最高人民检察院检察</w:t>
      </w:r>
    </w:p>
    <w:p w14:paraId="3849CA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方正小标宋简体" w:hAnsi="方正小标宋简体" w:eastAsia="方正小标宋简体" w:cs="方正小标宋简体"/>
          <w:sz w:val="44"/>
          <w:szCs w:val="44"/>
        </w:rPr>
        <w:t>理论研究课题的公告</w:t>
      </w:r>
    </w:p>
    <w:p w14:paraId="3134DBA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59F9A8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坚持以习近平新时代中国特色社会主义思想为指导，深入贯彻习近平法治思想，全面贯彻党的二十大和二十届二中、三中全会精神，以“高质效办好每一个案件”持续推进习近平法治思想的检察实践，为以中国式现代化全面推进强国建设、民族复兴伟业提供有力法治保障，一体推进检察实践创新与检察理论创新，健全中国特色社会主义检察学学科体系、学术体系、话语体系，最高人民检察院确定了《2025年度最高人民检察院检察理论研究课题参考选题》。根据《最高人民检察院检察理论研究课题管理办法（2025年修订）》（以下简称《课题管理办法（2025年修订）》），现将2025年度课题申报的有关事项公告如下：</w:t>
      </w:r>
    </w:p>
    <w:p w14:paraId="041E1C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一、申报人范围</w:t>
      </w:r>
    </w:p>
    <w:p w14:paraId="1DAD6E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最高人民检察院检察理论研究课题面向全国，鼓励检校之间、东西部检察机关之间联合申报。</w:t>
      </w:r>
    </w:p>
    <w:p w14:paraId="205C80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二、申报限制</w:t>
      </w:r>
    </w:p>
    <w:p w14:paraId="431B32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1.已主持最高人民检察院检察理论研究课题尚未结题的，不得以主持人身份申报。</w:t>
      </w:r>
    </w:p>
    <w:p w14:paraId="6DE7AF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已经承担国家社科基金、中国法学会部级法学研究课题、教育部人文社会科学研究项目、司法部法治建设与法学理论研究项目课题、最高人民法院年度司法研究重大课题、最高人民检察院检察应用理论研究课题、国家检察官学院科研基金资助项目等项目的课题组不得以相似题目重复申报最高人民检察院检察理论研究课题。</w:t>
      </w:r>
    </w:p>
    <w:p w14:paraId="274768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3.课题申请人须具有良好的政治素养和开展相关课题研究的前期研究成果，能作为课题主持人承担实质性研究工作。</w:t>
      </w:r>
    </w:p>
    <w:p w14:paraId="5C31C9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4.青年课题主持人不得超过40周岁。</w:t>
      </w:r>
    </w:p>
    <w:p w14:paraId="338B31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三、立项原则</w:t>
      </w:r>
    </w:p>
    <w:p w14:paraId="0CFF8D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申报最高人民检察院检察理论研究课题应着眼于推进检察理论创新，力求具有原创性和针对性，贴近检察实践。自拟题目与参考选题同等对待。课题评审将本着公平、公正原则，根据论证质量择优立项。</w:t>
      </w:r>
    </w:p>
    <w:p w14:paraId="72BB4D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四、项目类型</w:t>
      </w:r>
    </w:p>
    <w:p w14:paraId="5AF69C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课题管理办法（2025年修订）》，本年度最高人民检察院检察理论研究课题分为重大课题、一般课题、青年课题。课题经费分为基础经费和优化经费，部分一般课题和青年课题需自筹基础经费。课题研究报告获评优秀且课题研究成果符合规定条件的，还将资助优化经费。</w:t>
      </w:r>
    </w:p>
    <w:p w14:paraId="4D1551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五、申报要求</w:t>
      </w:r>
    </w:p>
    <w:p w14:paraId="2559D3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本年度课题实行在线申报方式，不接收纸质版申报材料。申报截止日期为2025年5月23日。申请人需登录最高人民检察院检察理论研究课题申报管理系统进行申报（https://jcllkt.spp.gov.cn），注册后按照系统提示填写申报信息（注册信息必须填写主持人或课题联系人信息），上传立项申请书和立项论证活页（立项论证活页将用于专家匿名评审，不得出现任何明示或暗示课题组成员信息的内容与表述）。一旦提交，申报内容将无法修改。</w:t>
      </w:r>
    </w:p>
    <w:p w14:paraId="3D0293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最高人民检察院检察理论研究课题管理系统开放时间为2025年5月6日至5月23日，逾期将无法提交申报材料。申请人可在5月6日之前先行填写《最高人民检察院检察理论研究课题立项申请书》（在最高人民检察院官网https://www.spp.gov.cn中的“理论研究”目录内，《课题管理办法（2025年修订）》的文档结尾处点击下载），待系统开放后按要求上传加盖公章的立项申请书电子版。</w:t>
      </w:r>
    </w:p>
    <w:p w14:paraId="3543D0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联系人：刘鹿鸣　李高伦　许慧君</w:t>
      </w:r>
    </w:p>
    <w:p w14:paraId="1AE285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联系电话：（010）86423820/3861/3867</w:t>
      </w:r>
    </w:p>
    <w:p w14:paraId="5D1560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0" w:name="_GoBack"/>
      <w:r>
        <w:rPr>
          <w:rFonts w:hint="eastAsia" w:ascii="黑体" w:hAnsi="黑体" w:eastAsia="黑体" w:cs="黑体"/>
          <w:sz w:val="32"/>
          <w:szCs w:val="32"/>
        </w:rPr>
        <w:t>六、参考选题</w:t>
      </w:r>
    </w:p>
    <w:bookmarkEnd w:id="0"/>
    <w:p w14:paraId="79FA50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2025年度最高人民检察院检察理论研究课题参考选题如下（共64项。申请人可根据选题内容自行选择申报重大课题、一般课题、青年课题类型）：</w:t>
      </w:r>
    </w:p>
    <w:p w14:paraId="1CE14D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1.持续推进习近平法治思想的检察实践 构建中国检察学自主知识体系研究</w:t>
      </w:r>
    </w:p>
    <w:p w14:paraId="475566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2.刑事检察知识体系研究</w:t>
      </w:r>
    </w:p>
    <w:p w14:paraId="775E17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3.民事检察知识体系研究</w:t>
      </w:r>
    </w:p>
    <w:p w14:paraId="0C138A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4.行政检察知识体系研究</w:t>
      </w:r>
    </w:p>
    <w:p w14:paraId="222938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5.公益诉讼检察知识体系研究</w:t>
      </w:r>
    </w:p>
    <w:p w14:paraId="5641BA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6.未成年人检察知识体系研究</w:t>
      </w:r>
    </w:p>
    <w:p w14:paraId="70321D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7.检察机关贯通推进“三个管理”构建“大管理”格局研究</w:t>
      </w:r>
    </w:p>
    <w:p w14:paraId="034B50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8.检察机关全面准确贯彻宽严相济刑事政策研究</w:t>
      </w:r>
    </w:p>
    <w:p w14:paraId="11571C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9.深化适用认罪认罚从宽制度研究</w:t>
      </w:r>
    </w:p>
    <w:p w14:paraId="2FB243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10.规范量刑建议和量刑裁判关系研究</w:t>
      </w:r>
    </w:p>
    <w:p w14:paraId="2893F3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11.刑事立案监督机制研究</w:t>
      </w:r>
    </w:p>
    <w:p w14:paraId="761846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12.刑事案件不起诉标准研究</w:t>
      </w:r>
    </w:p>
    <w:p w14:paraId="5144AB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13.涉案财物强制措施审查与监督机制研究</w:t>
      </w:r>
    </w:p>
    <w:p w14:paraId="289073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14.指定居所监视居住检察监督研究</w:t>
      </w:r>
    </w:p>
    <w:p w14:paraId="0C1F04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15.涉黑涉恶案件逮捕起诉与检察侦查融合履职研究</w:t>
      </w:r>
    </w:p>
    <w:p w14:paraId="15790F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16.新型、隐性职务犯罪认定研究</w:t>
      </w:r>
    </w:p>
    <w:p w14:paraId="58DCCB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17.职务犯罪缺席审判监检衔接机制研究</w:t>
      </w:r>
    </w:p>
    <w:p w14:paraId="4DB584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18.检察机关打击跨境电信网络诈骗犯罪研究</w:t>
      </w:r>
    </w:p>
    <w:p w14:paraId="783523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19.涉网犯罪管辖问题研究</w:t>
      </w:r>
    </w:p>
    <w:p w14:paraId="2CC29C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20.检察机关加强对违规异地执法和趋利性执法司法监督研究</w:t>
      </w:r>
    </w:p>
    <w:p w14:paraId="29478A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21.检察机关加强反垄断反暴利反不正当竞争司法研究</w:t>
      </w:r>
    </w:p>
    <w:p w14:paraId="1E529D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22.涉税犯罪法律适用问题研究</w:t>
      </w:r>
    </w:p>
    <w:p w14:paraId="3DD1F5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23.资本市场犯罪疑难问题研究</w:t>
      </w:r>
    </w:p>
    <w:p w14:paraId="0F5A6F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24.涉虚拟货币案件法律适用和资产处置问题研究</w:t>
      </w:r>
    </w:p>
    <w:p w14:paraId="745881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25.涉外经济犯罪法律适用及司法程序研究</w:t>
      </w:r>
    </w:p>
    <w:p w14:paraId="73DD23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26.我国企业出海刑事风险防范与检察履职研究</w:t>
      </w:r>
    </w:p>
    <w:p w14:paraId="137AE4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27.新质生产力发展中的司法需求与检察应对</w:t>
      </w:r>
    </w:p>
    <w:p w14:paraId="447E5A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28.数据知识产权保护的司法体系化构建</w:t>
      </w:r>
    </w:p>
    <w:p w14:paraId="61C7D6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29.刑事执行检察权限与责任界定</w:t>
      </w:r>
    </w:p>
    <w:p w14:paraId="5DFD73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30.“减假暂”监督案件同步监督研究</w:t>
      </w:r>
    </w:p>
    <w:p w14:paraId="43716D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31.检察侦查法律监督属性与一体化办案机制构建</w:t>
      </w:r>
    </w:p>
    <w:p w14:paraId="14BAA9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32.检察侦查与监察调查衔接机制研究</w:t>
      </w:r>
    </w:p>
    <w:p w14:paraId="4AA509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33.司法工作人员相关渎职犯罪认定研究</w:t>
      </w:r>
    </w:p>
    <w:p w14:paraId="5470C2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34.刑满释放人员重新犯罪问题研究</w:t>
      </w:r>
    </w:p>
    <w:p w14:paraId="6FE3C4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35.民事执行全程监督实证研究</w:t>
      </w:r>
    </w:p>
    <w:p w14:paraId="2404CB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36.新类型虚假诉讼监督问题研究</w:t>
      </w:r>
    </w:p>
    <w:p w14:paraId="6441F3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37.民事提请抗诉制度研究</w:t>
      </w:r>
    </w:p>
    <w:p w14:paraId="4370D4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38.民事支持起诉问题研究</w:t>
      </w:r>
    </w:p>
    <w:p w14:paraId="66E472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39.行政执行活动全程监督路径研究</w:t>
      </w:r>
    </w:p>
    <w:p w14:paraId="7E764C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40.行刑反向衔接“可处罚性”研究</w:t>
      </w:r>
    </w:p>
    <w:p w14:paraId="3EBCDB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41.行政检察因应行政案件司法管辖改革研究</w:t>
      </w:r>
    </w:p>
    <w:p w14:paraId="52855B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42.涉公民人身财产行政强制措施检察监督研究</w:t>
      </w:r>
    </w:p>
    <w:p w14:paraId="719D72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43.检察公益诉讼“可诉性”研究</w:t>
      </w:r>
    </w:p>
    <w:p w14:paraId="6301CD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44.公益诉讼检察建议与诉讼请求的衔接研究</w:t>
      </w:r>
    </w:p>
    <w:p w14:paraId="2E9C97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45.生态环境损害赔偿与检察公益诉讼衔接研究</w:t>
      </w:r>
    </w:p>
    <w:p w14:paraId="0CA23E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46.无障碍环境建设检察公益诉讼制度研究</w:t>
      </w:r>
    </w:p>
    <w:p w14:paraId="5403D1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47.反垄断民事检察公益诉讼损害赔偿与反垄断行政处罚关联问题研究</w:t>
      </w:r>
    </w:p>
    <w:p w14:paraId="634E8F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48.性侵害未成年人犯罪预防与治理研究</w:t>
      </w:r>
    </w:p>
    <w:p w14:paraId="6D2B99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49.涉罪未成年人帮教工作规范研究</w:t>
      </w:r>
    </w:p>
    <w:p w14:paraId="6ED591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50.核准追诉未成年人刑事风险评估研究</w:t>
      </w:r>
    </w:p>
    <w:p w14:paraId="09BA96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51.检察机关促推专门学校建设与依法履行法律监督职责</w:t>
      </w:r>
    </w:p>
    <w:p w14:paraId="3BEB99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52.《国家赔偿法》修改重点问题研究</w:t>
      </w:r>
    </w:p>
    <w:p w14:paraId="55A660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53.检察机关调查核实权研究</w:t>
      </w:r>
    </w:p>
    <w:p w14:paraId="2A3CFC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54.检察机关落实和完善司法责任制研究</w:t>
      </w:r>
    </w:p>
    <w:p w14:paraId="4D6DEA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55.司法追责惩戒与纪检监察审查调查衔接配合机制研究</w:t>
      </w:r>
    </w:p>
    <w:p w14:paraId="5016D3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56.规范派出检察室设置研究</w:t>
      </w:r>
    </w:p>
    <w:p w14:paraId="3896A4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57.检察机关司法警察职能定位研究</w:t>
      </w:r>
    </w:p>
    <w:p w14:paraId="05FAE7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58.涉外检察国别研究</w:t>
      </w:r>
    </w:p>
    <w:p w14:paraId="1E0A22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59.跨境刑事案件取证规则研究</w:t>
      </w:r>
    </w:p>
    <w:p w14:paraId="738883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60.涉港澳刑事司法协作机制研究</w:t>
      </w:r>
    </w:p>
    <w:p w14:paraId="691B13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61.深化和规范检务公开研究</w:t>
      </w:r>
    </w:p>
    <w:p w14:paraId="01451A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62.“每案必检”工作机制研究</w:t>
      </w:r>
    </w:p>
    <w:p w14:paraId="56B62A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63.人工智能辅助检察办案的应用场景及风险研究</w:t>
      </w:r>
    </w:p>
    <w:p w14:paraId="151097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64.大语言模型在检察工作中的应用研究</w:t>
      </w:r>
    </w:p>
    <w:p w14:paraId="458BD72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1BAAE3B3">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32"/>
          <w:szCs w:val="32"/>
        </w:rPr>
      </w:pPr>
      <w:r>
        <w:rPr>
          <w:rFonts w:hint="eastAsia" w:ascii="仿宋" w:hAnsi="仿宋" w:eastAsia="仿宋" w:cs="仿宋"/>
          <w:sz w:val="32"/>
          <w:szCs w:val="32"/>
        </w:rPr>
        <w:t>最高人民检察院检察理论研究领导小组</w:t>
      </w:r>
    </w:p>
    <w:p w14:paraId="580D9981">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2025年3月27日</w:t>
      </w:r>
      <w:r>
        <w:rPr>
          <w:rFonts w:hint="eastAsia" w:ascii="仿宋" w:hAnsi="仿宋" w:eastAsia="仿宋" w:cs="仿宋"/>
          <w:sz w:val="32"/>
          <w:szCs w:val="32"/>
          <w:lang w:val="en-US" w:eastAsia="zh-CN"/>
        </w:rPr>
        <w:t xml:space="preserve">        </w:t>
      </w:r>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165D82"/>
    <w:rsid w:val="5DFC012C"/>
    <w:rsid w:val="640E7C31"/>
    <w:rsid w:val="673463A1"/>
    <w:rsid w:val="69F543AD"/>
    <w:rsid w:val="6AE306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2373</Words>
  <Characters>2609</Characters>
  <Lines>0</Lines>
  <Paragraphs>0</Paragraphs>
  <TotalTime>36</TotalTime>
  <ScaleCrop>false</ScaleCrop>
  <LinksUpToDate>false</LinksUpToDate>
  <CharactersWithSpaces>2618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2025-04-02T00:09:00Z</dcterms:created>
  <dc:creator>QIT</dc:creator>
  <cp:lastModifiedBy>L.</cp:lastModifiedBy>
  <dcterms:modified xsi:type="dcterms:W3CDTF">2025-04-02T00:45:53Z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eyJoZGlkIjoiZmRjOTI5ODUxZGM1Y2E5YjgyNzBkYjdhMmEyMjhiZTAiLCJ1c2VySWQiOiIzODY2MTM2MTgifQ==</vt:lpwstr>
  </property>
  <property fmtid="{D5CDD505-2E9C-101B-9397-08002B2CF9AE}" pid="4" name="ICV">
    <vt:lpwstr>C7FBCD2D7AFB4FD0A62CD398FDE31862_12</vt:lpwstr>
  </property>
</Properties>
</file>